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Педиатрия (ординатура, 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05:21 МСК · База обновлена: 22.07.2026, 23:58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Педиатрия (ординатура, 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Вызов участкового педиатра на дом к мальчику 4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Отек кистей рук, уртикарная сыпь, невыраженный зуд.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В гостях на детском дне рождения ребенок съел молочный коржик (сливочное масло, молоко, творог в составе), выпил апельсиновый сок (ранее апельсины ел неоднократно, реакций не было).</w:t>
      </w:r>
    </w:p>
    <w:p>
      <w:pPr>
        <w:spacing w:after="58"/>
      </w:pPr>
      <w:r>
        <w:rPr>
          <w:b w:val="0"/>
          <w:i w:val="0"/>
        </w:rPr>
        <w:t>* Через 10 минут— острое появление множественных зудящих волдырей на лице, шее, груди, верхней половине туловища.</w:t>
      </w:r>
    </w:p>
    <w:p>
      <w:pPr>
        <w:spacing w:after="58"/>
      </w:pPr>
      <w:r>
        <w:rPr>
          <w:b w:val="0"/>
          <w:i w:val="0"/>
        </w:rPr>
        <w:t>* Мать сразу дала цетиризин 10 капель. В течение 20–30 минут сыпь побледнела, зуд уменьшился. Новые элементы не появлялись с вечера.</w:t>
      </w:r>
    </w:p>
    <w:p>
      <w:pPr>
        <w:spacing w:after="58"/>
      </w:pPr>
      <w:r>
        <w:rPr>
          <w:b w:val="0"/>
          <w:i w:val="0"/>
        </w:rPr>
        <w:t>* К утру сохраняются единичные бледно-розовые уртикарные элементы на щеках и животе, зуд слабый, умеренный отек кистей рук.</w:t>
      </w:r>
    </w:p>
    <w:p>
      <w:pPr>
        <w:spacing w:after="58"/>
      </w:pPr>
      <w:r>
        <w:rPr>
          <w:b w:val="0"/>
          <w:i w:val="0"/>
        </w:rPr>
        <w:t>* Общее состояние не нарушено, температура нормальная, аппетит сохранён.</w:t>
      </w:r>
    </w:p>
    <w:p>
      <w:pPr>
        <w:spacing w:after="58"/>
      </w:pPr>
      <w:r>
        <w:rPr>
          <w:b w:val="0"/>
          <w:i w:val="0"/>
        </w:rPr>
        <w:t>* Вызван участковый педиатр.</w:t>
      </w:r>
    </w:p>
    <w:p>
      <w:pPr>
        <w:spacing w:after="58"/>
      </w:pPr>
      <w:r>
        <w:rPr>
          <w:b w:val="0"/>
          <w:i w:val="0"/>
        </w:rPr>
        <w:t>* Дома мать строго исключает молоко, однако ребёнок периодически получает продукты, содержащие «следы молока» (выпечка, кондитерские изделия вне дома).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первой нормально протекавшей беременности, срочных родов. Масса тела при рождении 3150 г, длина 51 см. Период новорожденности без особенностей. Грудное вскармливание до 5 месяцев.</w:t>
      </w:r>
    </w:p>
    <w:p>
      <w:pPr>
        <w:spacing w:after="58"/>
      </w:pPr>
      <w:r>
        <w:rPr>
          <w:b w:val="0"/>
          <w:i w:val="0"/>
        </w:rPr>
        <w:t>* В 5 месяцев 10 дней — первое введение адаптированной молочной смеси («Малютка»). Через 15 минут после кормления— резкое беспокойство, отказ от еды, появление уртикарной сыпи на щеках, шее, груди, обильные срыгивания.</w:t>
      </w:r>
    </w:p>
    <w:p>
      <w:pPr>
        <w:spacing w:after="58"/>
      </w:pPr>
      <w:r>
        <w:rPr>
          <w:b w:val="0"/>
          <w:i w:val="0"/>
        </w:rPr>
        <w:t>* Мать вызвала бригаду СМП. В приёмном покое ребёнок осмотрен педиатром, состояние расценено как острая аллергическая реакция. Введён антигистаминный препарат парентерально, сыпь купирована в течение 2 часов.</w:t>
      </w:r>
    </w:p>
    <w:p>
      <w:pPr>
        <w:spacing w:after="58"/>
      </w:pPr>
      <w:r>
        <w:rPr>
          <w:b w:val="0"/>
          <w:i w:val="0"/>
        </w:rPr>
        <w:t>* С 6 месяцев — введена частично гидролизованная смесь(НАН ГА), переносил без реакций.</w:t>
      </w:r>
    </w:p>
    <w:p>
      <w:pPr>
        <w:spacing w:after="58"/>
      </w:pPr>
      <w:r>
        <w:rPr>
          <w:b w:val="0"/>
          <w:i w:val="0"/>
        </w:rPr>
        <w:t>* В 8 месяцев — попытка введения творога (1 ч.л.). Через 20 минут — крапивница на лице, отек века. Мать самостоятельно дала фенистил, сыпь купирована.</w:t>
      </w:r>
    </w:p>
    <w:p>
      <w:pPr>
        <w:spacing w:after="58"/>
      </w:pPr>
      <w:r>
        <w:rPr>
          <w:b w:val="0"/>
          <w:i w:val="0"/>
        </w:rPr>
        <w:t>* После этого случая мать полностью исключила все молочные продукты, не используя никакие смеси (ребёнок на общем столе с исключением молока). Аллергообследование не проводилось.</w:t>
      </w:r>
    </w:p>
    <w:p>
      <w:pPr>
        <w:spacing w:after="58"/>
      </w:pPr>
      <w:r>
        <w:rPr>
          <w:b w:val="0"/>
          <w:i w:val="0"/>
        </w:rPr>
        <w:t>* Перенесенные заболевания: острый гастроэнтерит в 3 года, ОРВИ 2 недели назад.</w:t>
      </w:r>
    </w:p>
    <w:p>
      <w:pPr>
        <w:spacing w:after="58"/>
      </w:pPr>
      <w:r>
        <w:rPr>
          <w:b w:val="0"/>
          <w:i w:val="0"/>
        </w:rPr>
        <w:t>* Вакцинация проведена в соответствии с Национальным календарем вакцинации.</w:t>
      </w:r>
    </w:p>
    <w:p>
      <w:pPr>
        <w:spacing w:after="58"/>
      </w:pPr>
      <w:r>
        <w:rPr>
          <w:b w:val="0"/>
          <w:i w:val="0"/>
        </w:rPr>
        <w:t>* Травмы и операции: не было.</w:t>
      </w:r>
    </w:p>
    <w:p>
      <w:pPr>
        <w:spacing w:after="58"/>
      </w:pPr>
      <w:r>
        <w:rPr>
          <w:b w:val="0"/>
          <w:i w:val="0"/>
        </w:rPr>
        <w:t>* Наследственность по аллергии отягощена: у мамы — поллиноз, атопический дерматит в детстве.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Самочувствие страдает незначительно из-за зуда. Не лихорадит.</w:t>
      </w:r>
    </w:p>
    <w:p>
      <w:pPr>
        <w:spacing w:after="58"/>
      </w:pPr>
      <w:r>
        <w:rPr>
          <w:b w:val="0"/>
          <w:i w:val="0"/>
        </w:rPr>
        <w:t>* Кожа влажная, тургор сохранен.</w:t>
      </w:r>
    </w:p>
    <w:p>
      <w:pPr>
        <w:spacing w:after="58"/>
      </w:pPr>
      <w:r>
        <w:rPr>
          <w:b w:val="0"/>
          <w:i w:val="0"/>
        </w:rPr>
        <w:t>* Уртикарная сыпь крупная на щеках, передней брюшной стенке — единичные бледно-розовые уртикарные элементы размером до 1–1,5 см, бледнеют при надавливании. Свежих высыпаний нет. Расчёсов нет.</w:t>
      </w:r>
    </w:p>
    <w:p>
      <w:pPr>
        <w:spacing w:after="58"/>
      </w:pPr>
      <w:r>
        <w:rPr>
          <w:b w:val="0"/>
          <w:i w:val="0"/>
        </w:rPr>
        <w:t>* Отек кистей рук.</w:t>
      </w:r>
    </w:p>
    <w:p>
      <w:pPr>
        <w:spacing w:after="58"/>
      </w:pPr>
      <w:r>
        <w:rPr>
          <w:b w:val="0"/>
          <w:i w:val="0"/>
        </w:rPr>
        <w:t>* Тоны сердца ясные, ритмичные, ЧСС – 98 в минуту, АД 90/50 мм рт. ст.</w:t>
      </w:r>
    </w:p>
    <w:p>
      <w:pPr>
        <w:spacing w:after="58"/>
      </w:pPr>
      <w:r>
        <w:rPr>
          <w:b w:val="0"/>
          <w:i w:val="0"/>
        </w:rPr>
        <w:t>* Грудная клетка правильной формы. Перкуторно звук ясный, легочный.</w:t>
      </w:r>
    </w:p>
    <w:p>
      <w:pPr>
        <w:spacing w:after="58"/>
      </w:pPr>
      <w:r>
        <w:rPr>
          <w:b w:val="0"/>
          <w:i w:val="0"/>
        </w:rPr>
        <w:t>* Дыхание проводится во все отделы, везикулярное, хрипов нет. ЧДД 22 в мин.</w:t>
      </w:r>
    </w:p>
    <w:p>
      <w:pPr>
        <w:spacing w:after="58"/>
      </w:pPr>
      <w:r>
        <w:rPr>
          <w:b w:val="0"/>
          <w:i w:val="0"/>
        </w:rPr>
        <w:t>* Живот безболезненный при поверхностной пальпации, мягкий, печень, селезенка не увеличены.</w:t>
      </w:r>
    </w:p>
    <w:p>
      <w:pPr>
        <w:spacing w:after="58"/>
      </w:pPr>
      <w:r>
        <w:rPr>
          <w:b w:val="0"/>
          <w:i w:val="0"/>
        </w:rPr>
        <w:t>* Стул и диурез в норме.</w:t>
      </w:r>
    </w:p>
    <w:p>
      <w:pPr>
        <w:spacing w:after="58"/>
      </w:pPr>
      <w:r>
        <w:rPr>
          <w:b w:val="0"/>
          <w:i w:val="0"/>
        </w:rPr>
        <w:t>* Очаговой и менингеальной симптоматики нет.</w:t>
      </w:r>
    </w:p>
    <w:p>
      <w:r>
        <w:drawing>
          <wp:inline xmlns:a="http://schemas.openxmlformats.org/drawingml/2006/main" xmlns:pic="http://schemas.openxmlformats.org/drawingml/2006/picture">
            <wp:extent cx="5303520" cy="397764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a7fd1729b4e7e25fec45477af3025b1cfaac0b9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776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Поставить диагноз этому пациенту позволяют данные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иммунологического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гистологического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инструментального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анамнеза и физикального осмотра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анамнеза и физикального осмотра</w:t>
      </w:r>
    </w:p>
    <w:p>
      <w:pPr>
        <w:ind w:left="504"/>
      </w:pPr>
      <w:r>
        <w:rPr>
          <w:b w:val="0"/>
          <w:i/>
        </w:rPr>
        <w:t>Диагностика крапивницы обычно не требует лабораторного подтверждения (в отличие от диагностики причин крапивницы). Обследование следует начинать с детального изучения анамнеза и физикального исследования.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Поскольку в анамнезе у данного пациента есть указание на провоцирующий фактор, рекомендованным лабораторным исследованием для уточнения причины заболевания является определение концентрации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триптазы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аллергенспецифических IgE к молоку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специфических IgG4 к молоку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общего Ig Е в сыворотке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аллергенспецифических IgE к молоку в сыворотке крови</w:t>
      </w:r>
    </w:p>
    <w:p>
      <w:pPr>
        <w:ind w:left="504"/>
      </w:pPr>
      <w:r>
        <w:rPr>
          <w:b w:val="0"/>
          <w:i/>
        </w:rPr>
        <w:t>Рекомендуется селективное проведение исследования уровня специфических антител класса IgE (sIgE) (исследование уровня антител к антигенам растительного, животного и химического происхождения в крови) пациентам с подозрением на пищевую аллергию с целью определения причинно-значимой сенсибилизации.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Пищевая аллергия, 2025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Диспансерное наблюдение за данным пациентом осуществляет врач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ревматолог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дерматолог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эндокринолог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гастроэнтеролог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дерматолог</w:t>
      </w:r>
    </w:p>
    <w:p>
      <w:pPr>
        <w:ind w:left="504"/>
      </w:pPr>
      <w:r>
        <w:rPr>
          <w:b w:val="0"/>
          <w:i/>
        </w:rPr>
        <w:t>Первичная специализированная медико-санитарная помощь оказывается врачом - дерматовенерологом или врачом-аллергологом-иммунологом, а в случае его отсутствия - врачом-терапевтом, врачом-педиатром.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Учитывая данные анамнеза, физикального осмотра и результаты лабораторного обследования, данному пациенту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Острая аллергическая крапивница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Атопический дерматит, стадия обострения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Пигментная крапивница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Контактный дерматит, стадия обострения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Острая аллергическая крапивница</w:t>
      </w:r>
    </w:p>
    <w:p>
      <w:pPr>
        <w:ind w:left="504"/>
      </w:pPr>
      <w:r>
        <w:rPr>
          <w:b w:val="0"/>
          <w:i/>
        </w:rPr>
        <w:t>Под острой крапивницей понимают внезапное появление волдырей (каждый из которых существует не более 24 часов) продолжительностью менее 6 недель, вызванное воздействием одного или нескольких провоцирующих факторов.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Провоцирующим фактором развития симптомов заболевания у пациента в данном случае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пищевая аллергия на белок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стрессовая ситуация на мероприятии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вирусная инфекция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лекарственная аллергия на цетиризин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пищевая аллергия на белок коровьего молока</w:t>
      </w:r>
    </w:p>
    <w:p>
      <w:pPr>
        <w:ind w:left="504"/>
      </w:pPr>
      <w:r>
        <w:rPr>
          <w:b w:val="0"/>
          <w:i/>
        </w:rPr>
        <w:t>Пищевая аллергия – это вызванная приемом пищевого продукта патологическая реакция, в основе которой лежат иммунные механизмы (специфические IgE-опосредованные реакции, клеточный иммунный ответ (не IgE-опосредованные) или их сочетание - реакции смешанного типа).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Пищевая аллергия,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Данному пациенту рекомендовано назначить элиминационную диету с исключением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всех цитрусовых фруктов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продуктов, содержащих белок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продуктов из группы гистаминолибераторов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всех аллергенов большой восьмерки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продуктов, содержащих белок коровьего молока</w:t>
      </w:r>
    </w:p>
    <w:p>
      <w:pPr>
        <w:ind w:left="504"/>
      </w:pPr>
      <w:r>
        <w:rPr>
          <w:b w:val="0"/>
          <w:i/>
        </w:rPr>
        <w:t>Основные принципы и цели лечения крапивницы:</w:t>
        <w:br/>
        <w:br/>
        <w:t>* Элиминация и устранение причин возникновения.</w:t>
        <w:br/>
        <w:br/>
        <w:t>* Индукция толерантности.</w:t>
        <w:br/>
        <w:br/>
        <w:t>* Симптоматическая терапия.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Этиологическим лечением пищевой аллергии является исключение из питания причинно- значимых продуктов.</w:t>
        <w:br/>
        <w:br/>
        <w:t>Клинические рекомендации Союза педиатров России. Пищевая аллергия, 2021 г.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Медикаментозное лечение острой крапивницы у данного пациента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топические глюкокортикостероиды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Н1-антигистаминные препараты I поколения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энтеросорбенты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Н1-антигистаминные препараты II поколения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Н1-антигистаминные препараты II поколения</w:t>
      </w:r>
    </w:p>
    <w:p>
      <w:pPr>
        <w:ind w:left="504"/>
      </w:pPr>
      <w:r>
        <w:rPr>
          <w:b w:val="0"/>
          <w:i/>
        </w:rPr>
        <w:t>Рекомендуется пациентам с острой крапивницей и/или ангиоотеком использовать антигистаминные средства системного действия (неседативные, второго поколения) с целью полного устранения симптомов.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Препаратом выбора для фармакотерапии острой крапивницы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хлоропирамин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кетотифен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диметинден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цетиризин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цетиризин</w:t>
      </w:r>
    </w:p>
    <w:p>
      <w:pPr>
        <w:ind w:left="504"/>
      </w:pPr>
      <w:r>
        <w:rPr>
          <w:b w:val="0"/>
          <w:i/>
        </w:rPr>
        <w:t>В качестве препаратов первой линии рекомендовано использовать неседативные антигистаминные средства II поколения, к которым относится цетиризин.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Суточная доза цетиризина у данного пациента должна составлять +_____+ мг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</w:t>
      </w:r>
    </w:p>
    <w:p>
      <w:pPr>
        <w:ind w:left="504"/>
      </w:pPr>
      <w:r>
        <w:rPr>
          <w:b w:val="0"/>
          <w:i/>
        </w:rPr>
        <w:t>Цетиризин детям:</w:t>
        <w:br/>
        <w:br/>
        <w:t>* в возрасте от 6 до 12 месяцев по 2,5 мг 1р в сутки;</w:t>
        <w:br/>
        <w:br/>
        <w:t>* детям в возрасте от 1 года до 2 лет по 2,5 мг 2 р в сутки;</w:t>
        <w:br/>
        <w:br/>
        <w:t>* детям в возрасте от 2 до 6 лет по 2,5 мг 2 р в сутки или 5 мг 1 р в сутки;</w:t>
        <w:br/>
        <w:br/>
        <w:t>* взрослым и детям старше 6 лет по 5-10 мг 1 р в сутки.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данном случае пациенту рекомендовано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применение системных глюкокортикоидов минимальным необходимым курсом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добавить к терапии антигистаминными препаратами стабилизатор мембраны тучных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добавить к терапии антигистаминными препаратами монтелукаст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комбинировать два антигистаминных препарата второго поколения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применение системных глюкокортикоидов минимальным необходимым курсом</w:t>
      </w:r>
    </w:p>
    <w:p>
      <w:pPr>
        <w:ind w:left="504"/>
      </w:pPr>
      <w:r>
        <w:rPr>
          <w:b w:val="0"/>
          <w:i/>
        </w:rPr>
        <w:t>Пациентам с острой крапивницей и/или ангиоотеком в случае отсутствия эффекта от терапии антигистаминными средствами системного действия рассмотреть применение терапии глюкокортикоидами с целью купирования острых проявлений минимальным необходимым курсом.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Доза преднизолона, назначаемая данному пациенту должна составлять _____ мг/кг/сут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0,5-0,7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1-2</w:t>
      </w:r>
    </w:p>
    <w:p>
      <w:pPr>
        <w:ind w:left="504"/>
      </w:pPr>
      <w:r>
        <w:rPr>
          <w:b w:val="0"/>
          <w:i/>
        </w:rPr>
        <w:t>Для купирования острого эпизода коротким курсом (у взрослых до 10 дней, у детей – 3-7 сут.) может использоваться перорально преднизолон в дозе 20-50 мг/сут у взрослых и в дозировке 1-2 мг/кг/сут у детей.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Прогноз течения заболевания у данного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неблагоприятный, приводит к инвалидизации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сомнительный, заболевание прогрессирует независимо от диеты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целом, благоприятный, при соблюдении элиминационной диеты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неблагоприятный, требуется пожизненная иммуносупрессивная 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целом, благоприятный, при соблюдении элиминационной диеты</w:t>
      </w:r>
    </w:p>
    <w:p>
      <w:pPr>
        <w:ind w:left="504"/>
      </w:pPr>
      <w:r>
        <w:rPr>
          <w:b w:val="0"/>
          <w:i/>
        </w:rPr>
        <w:t>В целом, прогноз при крапивнице благоприятный. У большинства пациентов клинические проявления со временем уменьшаются</w:t>
        <w:br/>
        <w:br/>
        <w:t>Острая спонтанная крапивница в большинстве случаев остается единственным эпизодом в жизни пациента.</w:t>
        <w:br/>
        <w:br/>
      </w:r>
      <w:hyperlink r:id="rId21">
        <w:r>
          <w:rPr>
            <w:color w:val="173C49"/>
            <w:u w:val="single"/>
          </w:rPr>
          <w:t>Клинические рекомендации Российская ассоциация аллергологов и клинических иммунологов Крапивница. 2023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Педиатрия (ординатура, 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_2023/" TargetMode="External"/><Relationship Id="rId22" Type="http://schemas.openxmlformats.org/officeDocument/2006/relationships/hyperlink" Target="https://library.mededtech.ru/rest/documents/KP_2023/#paragraph_8oij3s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KP994_1_25/" TargetMode="External"/><Relationship Id="rId25" Type="http://schemas.openxmlformats.org/officeDocument/2006/relationships/hyperlink" Target="https://library.mededtech.ru/rest/documents/KP994_1_25/#list_item_r7tbl7" TargetMode="External"/><Relationship Id="rId26" Type="http://schemas.openxmlformats.org/officeDocument/2006/relationships/hyperlink" Target="https://library.mededtech.ru/rest/documents/KP_2023/#paragraph_99u8g2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KP_2023/#paragraph_c17dfc" TargetMode="External"/><Relationship Id="rId29" Type="http://schemas.openxmlformats.org/officeDocument/2006/relationships/hyperlink" Target="https://library.mededtech.ru/rest/documents/KP994_1_25/#paragraph_817b2t" TargetMode="External"/><Relationship Id="rId30" Type="http://schemas.openxmlformats.org/officeDocument/2006/relationships/hyperlink" Target="https://library.mededtech.ru/rest/documents/KP_2023/#list_item_n0hhok" TargetMode="External"/><Relationship Id="rId31" Type="http://schemas.openxmlformats.org/officeDocument/2006/relationships/hyperlink" Target="https://library.mededtech.ru/rest/documents/picheva2021/#paragraph_rlc132" TargetMode="External"/><Relationship Id="rId32" Type="http://schemas.openxmlformats.org/officeDocument/2006/relationships/hyperlink" Target="https://library.mededtech.ru/rest/documents/KP_2023/#list_item_5qk10j" TargetMode="External"/><Relationship Id="rId33" Type="http://schemas.openxmlformats.org/officeDocument/2006/relationships/hyperlink" Target="https://library.mededtech.ru/rest/documents/KP_2023/#paragraph_igep5r" TargetMode="External"/><Relationship Id="rId34" Type="http://schemas.openxmlformats.org/officeDocument/2006/relationships/hyperlink" Target="https://library.mededtech.ru/rest/documents/KP_2023/#list_item_irfk8f" TargetMode="External"/><Relationship Id="rId35" Type="http://schemas.openxmlformats.org/officeDocument/2006/relationships/image" Target="media/image8.png"/><Relationship Id="rId36" Type="http://schemas.openxmlformats.org/officeDocument/2006/relationships/hyperlink" Target="https://library.mededtech.ru/rest/documents/KP_2023/#paragraph_l0stoi" TargetMode="External"/><Relationship Id="rId37" Type="http://schemas.openxmlformats.org/officeDocument/2006/relationships/hyperlink" Target="https://library.mededtech.ru/rest/documents/KP_2023/#paragraph_147rv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